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2A" w:rsidRDefault="00562275"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WHEREAS,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the General Assembly has enacted the Local Option Budgeting Law of 1993, now codified in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Cs w:val="20"/>
          <w:shd w:val="clear" w:color="auto" w:fill="FFFFFF"/>
        </w:rPr>
        <w:t>Tennessee Code Annotated</w:t>
      </w:r>
      <w:r>
        <w:rPr>
          <w:rFonts w:ascii="Arial" w:hAnsi="Arial" w:cs="Arial"/>
          <w:color w:val="333333"/>
          <w:szCs w:val="20"/>
          <w:shd w:val="clear" w:color="auto" w:fill="FFFFFF"/>
        </w:rPr>
        <w:t>, Sections 5-12-201,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Cs w:val="20"/>
          <w:shd w:val="clear" w:color="auto" w:fill="FFFFFF"/>
        </w:rPr>
        <w:t>et seq</w:t>
      </w:r>
      <w:r>
        <w:rPr>
          <w:rFonts w:ascii="Arial" w:hAnsi="Arial" w:cs="Arial"/>
          <w:color w:val="333333"/>
          <w:szCs w:val="20"/>
          <w:shd w:val="clear" w:color="auto" w:fill="FFFFFF"/>
        </w:rPr>
        <w:t>.; and,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WHEREAS,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Cs w:val="20"/>
          <w:shd w:val="clear" w:color="auto" w:fill="FFFFFF"/>
        </w:rPr>
        <w:t>Tennessee Code Annotated</w:t>
      </w:r>
      <w:r>
        <w:rPr>
          <w:rFonts w:ascii="Arial" w:hAnsi="Arial" w:cs="Arial"/>
          <w:color w:val="333333"/>
          <w:szCs w:val="20"/>
          <w:shd w:val="clear" w:color="auto" w:fill="FFFFFF"/>
        </w:rPr>
        <w:t>, Section 5-12-201, authorizes counties to adopt and come under the provisions of the Local Option Budgeting Law of 1993 by a two-thirds (2/3) majority vote of the county legislative body; and,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WHEREAS,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after studying this optional law, the county legislative body of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County has concluded that it is in the best interest of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County to follow the procedures delineated in the Local Option Budgeting Law of 1993;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NOW, THEREFORE, BE IT RESOLVED</w:t>
      </w:r>
      <w:r>
        <w:rPr>
          <w:rStyle w:val="apple-converted-space"/>
          <w:rFonts w:ascii="Arial" w:hAnsi="Arial" w:cs="Arial"/>
          <w:b/>
          <w:bCs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by the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County Legislative Body meeting in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session on this the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day of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, 20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, at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, Tennessee, that henceforth,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u w:val="single"/>
          <w:shd w:val="clear" w:color="auto" w:fill="FFFFFF"/>
        </w:rPr>
        <w:t>__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County shall be governed by the provisions of the Local Option Budget Law of 1993, codified at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Cs w:val="20"/>
          <w:shd w:val="clear" w:color="auto" w:fill="FFFFFF"/>
        </w:rPr>
        <w:t>Tennessee Code Annotated</w:t>
      </w:r>
      <w:r>
        <w:rPr>
          <w:rFonts w:ascii="Arial" w:hAnsi="Arial" w:cs="Arial"/>
          <w:color w:val="333333"/>
          <w:szCs w:val="20"/>
          <w:shd w:val="clear" w:color="auto" w:fill="FFFFFF"/>
        </w:rPr>
        <w:t>, Sections 5-12-201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Cs w:val="20"/>
          <w:shd w:val="clear" w:color="auto" w:fill="FFFFFF"/>
        </w:rPr>
        <w:t>et seq.</w:t>
      </w:r>
      <w:r>
        <w:rPr>
          <w:rFonts w:ascii="Arial" w:hAnsi="Arial" w:cs="Arial"/>
          <w:color w:val="333333"/>
          <w:szCs w:val="20"/>
          <w:shd w:val="clear" w:color="auto" w:fill="FFFFFF"/>
        </w:rPr>
        <w:t>, and as it may be amended from time to time.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b/>
          <w:bCs/>
          <w:color w:val="333333"/>
          <w:szCs w:val="20"/>
          <w:shd w:val="clear" w:color="auto" w:fill="FFFFFF"/>
        </w:rPr>
        <w:t>BE IT FURTHER RESOLVED,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that this Resolution shall take effect on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, the public welfare requiring it.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shd w:val="clear" w:color="auto" w:fill="FFFFFF"/>
        </w:rPr>
        <w:t>Adopted by two-thirds (2/3) majority vote this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day of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, 20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333333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shd w:val="clear" w:color="auto" w:fill="FFFFFF"/>
        </w:rPr>
        <w:t>APPROVED:</w:t>
      </w:r>
      <w:r>
        <w:rPr>
          <w:rStyle w:val="apple-converted-space"/>
          <w:rFonts w:ascii="Arial" w:hAnsi="Arial" w:cs="Arial"/>
          <w:color w:val="333333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Cs w:val="20"/>
          <w:shd w:val="clear" w:color="auto" w:fill="FFFFFF"/>
        </w:rPr>
        <w:t>ATTEST: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shd w:val="clear" w:color="auto" w:fill="FFFFFF"/>
        </w:rPr>
        <w:t>__________________________________</w:t>
      </w:r>
      <w:r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  <w:shd w:val="clear" w:color="auto" w:fill="FFFFFF"/>
        </w:rPr>
        <w:t>County Executive County Clerk</w:t>
      </w:r>
      <w:bookmarkStart w:id="0" w:name="_GoBack"/>
      <w:bookmarkEnd w:id="0"/>
    </w:p>
    <w:sectPr w:rsidR="0037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75"/>
    <w:rsid w:val="00370F2A"/>
    <w:rsid w:val="005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3BEF-52C4-413A-BD3B-7604383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2017-03-29T18:12:00Z</dcterms:created>
  <dcterms:modified xsi:type="dcterms:W3CDTF">2017-03-29T18:13:00Z</dcterms:modified>
</cp:coreProperties>
</file>